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6E40AD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660476">
              <w:rPr>
                <w:b/>
              </w:rPr>
              <w:t xml:space="preserve">1 </w:t>
            </w:r>
            <w:r w:rsidR="00C57341">
              <w:rPr>
                <w:b/>
              </w:rPr>
              <w:t xml:space="preserve">:    </w:t>
            </w:r>
            <w:r w:rsidR="00B94D47">
              <w:rPr>
                <w:b/>
              </w:rPr>
              <w:t>Politique des ressources humaines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660476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1-3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Pr="001824E5" w:rsidRDefault="00055F3C" w:rsidP="001824E5">
            <w:pPr>
              <w:spacing w:after="40"/>
              <w:ind w:left="72"/>
              <w:jc w:val="center"/>
              <w:rPr>
                <w:sz w:val="24"/>
              </w:rPr>
            </w:pPr>
            <w:sdt>
              <w:sdtPr>
                <w:rPr>
                  <w:color w:val="000000" w:themeColor="text1"/>
                  <w:szCs w:val="28"/>
                </w:rPr>
                <w:id w:val="1511948120"/>
                <w:showingPlcHdr/>
              </w:sdtPr>
              <w:sdtEndPr>
                <w:rPr>
                  <w:rFonts w:ascii="Arial" w:hAnsi="Arial" w:cs="Arial"/>
                  <w:b/>
                  <w:bCs/>
                  <w:sz w:val="18"/>
                  <w:szCs w:val="18"/>
                </w:rPr>
              </w:sdtEndPr>
              <w:sdtContent>
                <w:r w:rsidR="001824E5" w:rsidRPr="00B94D47">
                  <w:rPr>
                    <w:color w:val="000000" w:themeColor="text1"/>
                    <w:szCs w:val="28"/>
                  </w:rPr>
                  <w:t xml:space="preserve">     </w:t>
                </w:r>
              </w:sdtContent>
            </w:sdt>
            <w:r w:rsidR="00B21B63" w:rsidRPr="00B94D47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LES NOUVEAUX ENJEUX DU DIALOGUE SOCIAL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B21B63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35E03">
              <w:rPr>
                <w:sz w:val="24"/>
              </w:rPr>
              <w:t xml:space="preserve"> </w:t>
            </w:r>
            <w:r>
              <w:rPr>
                <w:sz w:val="24"/>
              </w:rPr>
              <w:t>jour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Tr="008964FA">
        <w:trPr>
          <w:cantSplit/>
          <w:trHeight w:hRule="exact" w:val="2260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56B" w:rsidRPr="0039656B" w:rsidRDefault="006E40AD" w:rsidP="003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</w:t>
            </w:r>
            <w:r w:rsidR="0039656B">
              <w:rPr>
                <w:rFonts w:ascii="Arial" w:hAnsi="Arial"/>
                <w:b/>
                <w:i/>
                <w:sz w:val="18"/>
              </w:rPr>
              <w:t>ue de la formation décrite ici, le stagiaire doit </w:t>
            </w:r>
            <w:r w:rsidR="0039656B">
              <w:rPr>
                <w:sz w:val="24"/>
              </w:rPr>
              <w:t>:</w:t>
            </w:r>
          </w:p>
          <w:p w:rsidR="008964FA" w:rsidRPr="00B94D47" w:rsidRDefault="008964FA" w:rsidP="00417722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B94D47">
              <w:rPr>
                <w:rFonts w:ascii="Arial" w:hAnsi="Arial" w:cs="Arial"/>
                <w:sz w:val="18"/>
                <w:szCs w:val="18"/>
              </w:rPr>
              <w:t>Maitriser le cadre juridique et le contenu</w:t>
            </w:r>
            <w:r w:rsidR="00770DDD" w:rsidRPr="00B94D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0C8D" w:rsidRPr="00B94D47">
              <w:rPr>
                <w:rFonts w:ascii="Arial" w:hAnsi="Arial" w:cs="Arial"/>
                <w:sz w:val="18"/>
                <w:szCs w:val="18"/>
              </w:rPr>
              <w:t xml:space="preserve">(principaux repères) </w:t>
            </w:r>
            <w:r w:rsidRPr="00B94D47">
              <w:rPr>
                <w:rFonts w:ascii="Arial" w:hAnsi="Arial" w:cs="Arial"/>
                <w:sz w:val="18"/>
                <w:szCs w:val="18"/>
              </w:rPr>
              <w:t>d</w:t>
            </w:r>
            <w:r w:rsidR="00770DDD" w:rsidRPr="00B94D47">
              <w:rPr>
                <w:rFonts w:ascii="Arial" w:hAnsi="Arial" w:cs="Arial"/>
                <w:sz w:val="18"/>
                <w:szCs w:val="18"/>
              </w:rPr>
              <w:t xml:space="preserve">es nouveaux </w:t>
            </w:r>
            <w:r w:rsidR="00FD2BAD" w:rsidRPr="00B94D47">
              <w:rPr>
                <w:rFonts w:ascii="Arial" w:hAnsi="Arial" w:cs="Arial"/>
                <w:sz w:val="18"/>
                <w:szCs w:val="18"/>
              </w:rPr>
              <w:t xml:space="preserve">enjeux </w:t>
            </w:r>
            <w:r w:rsidR="00770DDD" w:rsidRPr="00B94D47">
              <w:rPr>
                <w:rFonts w:ascii="Arial" w:hAnsi="Arial" w:cs="Arial"/>
                <w:sz w:val="18"/>
                <w:szCs w:val="18"/>
              </w:rPr>
              <w:t>du dialogue social</w:t>
            </w:r>
            <w:r w:rsidR="00F26292" w:rsidRPr="00B94D47">
              <w:rPr>
                <w:rFonts w:ascii="Arial" w:hAnsi="Arial" w:cs="Arial"/>
                <w:sz w:val="18"/>
                <w:szCs w:val="18"/>
              </w:rPr>
              <w:t> et des relations de travail </w:t>
            </w:r>
            <w:r w:rsidRPr="00B94D47">
              <w:rPr>
                <w:rFonts w:ascii="Arial" w:hAnsi="Arial" w:cs="Arial"/>
                <w:sz w:val="18"/>
                <w:szCs w:val="18"/>
              </w:rPr>
              <w:t>dans la fonction publique listés ci-après</w:t>
            </w:r>
            <w:r w:rsidR="001B3E61" w:rsidRPr="00B94D47">
              <w:rPr>
                <w:rFonts w:ascii="Arial" w:hAnsi="Arial" w:cs="Arial"/>
                <w:sz w:val="18"/>
                <w:szCs w:val="18"/>
              </w:rPr>
              <w:t> ;</w:t>
            </w:r>
            <w:r w:rsidRPr="00B94D4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8964FA" w:rsidRPr="00B94D47" w:rsidRDefault="008964FA" w:rsidP="00417722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B94D47">
              <w:rPr>
                <w:rFonts w:ascii="Arial" w:hAnsi="Arial" w:cs="Arial"/>
                <w:sz w:val="18"/>
                <w:szCs w:val="18"/>
              </w:rPr>
              <w:t>En saisir les impacts sur les organisations, les conditions de travail des agents et l’attractivité des métiers ;</w:t>
            </w:r>
          </w:p>
          <w:p w:rsidR="008964FA" w:rsidRPr="00B94D47" w:rsidRDefault="008964FA" w:rsidP="00417722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 w:rsidRPr="00B94D47">
              <w:rPr>
                <w:rFonts w:ascii="Arial" w:hAnsi="Arial" w:cs="Arial"/>
                <w:sz w:val="18"/>
                <w:szCs w:val="18"/>
              </w:rPr>
              <w:t xml:space="preserve">Cerner les </w:t>
            </w:r>
            <w:r w:rsidR="007127EC" w:rsidRPr="00B94D47">
              <w:rPr>
                <w:rFonts w:ascii="Arial" w:hAnsi="Arial" w:cs="Arial"/>
                <w:sz w:val="18"/>
                <w:szCs w:val="18"/>
              </w:rPr>
              <w:t xml:space="preserve">(nouvelles) </w:t>
            </w:r>
            <w:r w:rsidRPr="00B94D47">
              <w:rPr>
                <w:rFonts w:ascii="Arial" w:hAnsi="Arial" w:cs="Arial"/>
                <w:sz w:val="18"/>
                <w:szCs w:val="18"/>
              </w:rPr>
              <w:t>attentes des agents et des organisations syndicales</w:t>
            </w:r>
            <w:r w:rsidR="007127EC" w:rsidRPr="00B94D47">
              <w:rPr>
                <w:rFonts w:ascii="Arial" w:hAnsi="Arial" w:cs="Arial"/>
                <w:sz w:val="18"/>
                <w:szCs w:val="18"/>
              </w:rPr>
              <w:t xml:space="preserve"> sur ces sujets</w:t>
            </w:r>
            <w:r w:rsidR="001B3E61" w:rsidRPr="00B94D47">
              <w:rPr>
                <w:rFonts w:ascii="Arial" w:hAnsi="Arial" w:cs="Arial"/>
                <w:sz w:val="18"/>
                <w:szCs w:val="18"/>
              </w:rPr>
              <w:t> ;</w:t>
            </w:r>
            <w:r w:rsidRPr="00B94D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964FA" w:rsidRPr="00B94D47" w:rsidRDefault="008964FA" w:rsidP="008964FA">
            <w:pPr>
              <w:pStyle w:val="Paragraphedeliste"/>
              <w:numPr>
                <w:ilvl w:val="0"/>
                <w:numId w:val="19"/>
              </w:numPr>
              <w:tabs>
                <w:tab w:val="left" w:pos="423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4D47">
              <w:rPr>
                <w:rFonts w:ascii="Arial" w:hAnsi="Arial" w:cs="Arial"/>
                <w:sz w:val="18"/>
                <w:szCs w:val="18"/>
              </w:rPr>
              <w:t>Intégrer ces enjeux dans la stratégie et le fonctionnement des organisations et dans le dialogue social ;</w:t>
            </w:r>
          </w:p>
          <w:p w:rsidR="008964FA" w:rsidRPr="00B94D47" w:rsidRDefault="008964FA" w:rsidP="008964FA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4D47">
              <w:rPr>
                <w:rFonts w:ascii="Arial" w:hAnsi="Arial" w:cs="Arial"/>
                <w:sz w:val="18"/>
                <w:szCs w:val="18"/>
              </w:rPr>
              <w:t>Thèmes : temps</w:t>
            </w:r>
            <w:r w:rsidR="00F26292" w:rsidRPr="00B94D47">
              <w:rPr>
                <w:rFonts w:ascii="Arial" w:hAnsi="Arial" w:cs="Arial"/>
                <w:sz w:val="18"/>
                <w:szCs w:val="18"/>
              </w:rPr>
              <w:t xml:space="preserve"> et organisation du travail</w:t>
            </w:r>
            <w:r w:rsidRPr="00B94D47">
              <w:rPr>
                <w:rFonts w:ascii="Arial" w:hAnsi="Arial" w:cs="Arial"/>
                <w:sz w:val="18"/>
                <w:szCs w:val="18"/>
              </w:rPr>
              <w:t xml:space="preserve"> (cycles de travail,</w:t>
            </w:r>
            <w:r w:rsidR="00F612B3" w:rsidRPr="00B94D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4D47">
              <w:rPr>
                <w:rFonts w:ascii="Arial" w:hAnsi="Arial" w:cs="Arial"/>
                <w:sz w:val="18"/>
                <w:szCs w:val="18"/>
              </w:rPr>
              <w:t>télétravail, articulation vie personnelle vie professionnelle, travail en mode hybride</w:t>
            </w:r>
            <w:r w:rsidR="00341E11" w:rsidRPr="00B94D47">
              <w:rPr>
                <w:rFonts w:ascii="Arial" w:hAnsi="Arial" w:cs="Arial"/>
                <w:sz w:val="18"/>
                <w:szCs w:val="18"/>
              </w:rPr>
              <w:t>,</w:t>
            </w:r>
            <w:r w:rsidR="00F26292" w:rsidRPr="00B94D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0DDD" w:rsidRPr="00B94D47">
              <w:rPr>
                <w:rFonts w:ascii="Arial" w:hAnsi="Arial" w:cs="Arial"/>
                <w:sz w:val="18"/>
                <w:szCs w:val="18"/>
              </w:rPr>
              <w:t xml:space="preserve">qualité de vie au travail, </w:t>
            </w:r>
            <w:r w:rsidR="00B16859" w:rsidRPr="00B94D47">
              <w:rPr>
                <w:rFonts w:ascii="Arial" w:hAnsi="Arial" w:cs="Arial"/>
                <w:sz w:val="18"/>
                <w:szCs w:val="18"/>
              </w:rPr>
              <w:t>numérisation (dont l’IA)</w:t>
            </w:r>
            <w:r w:rsidR="00F612B3" w:rsidRPr="00B94D47">
              <w:rPr>
                <w:rFonts w:ascii="Arial" w:hAnsi="Arial" w:cs="Arial"/>
                <w:sz w:val="18"/>
                <w:szCs w:val="18"/>
              </w:rPr>
              <w:t>)</w:t>
            </w:r>
            <w:r w:rsidR="00030785" w:rsidRPr="00B94D47">
              <w:rPr>
                <w:rFonts w:ascii="Arial" w:hAnsi="Arial" w:cs="Arial"/>
                <w:sz w:val="18"/>
                <w:szCs w:val="18"/>
              </w:rPr>
              <w:t xml:space="preserve"> objectifs de développement durable (ODD)</w:t>
            </w:r>
            <w:r w:rsidR="00F26292" w:rsidRPr="00B94D4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94D47" w:rsidRPr="00FE25A9" w:rsidRDefault="00B94D47" w:rsidP="00B94D47">
            <w:pPr>
              <w:pStyle w:val="Paragraphedeliste"/>
              <w:ind w:left="360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  <w:p w:rsidR="00C57341" w:rsidRPr="00B94D47" w:rsidRDefault="00C57341" w:rsidP="00B94D47">
            <w:pPr>
              <w:rPr>
                <w:b/>
                <w:bCs/>
              </w:rPr>
            </w:pPr>
            <w:r w:rsidRPr="00B94D47"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770DDD" w:rsidRPr="00B94D47">
                  <w:rPr>
                    <w:rFonts w:ascii="Arial" w:hAnsi="Arial"/>
                    <w:b/>
                    <w:i/>
                    <w:sz w:val="18"/>
                  </w:rPr>
                  <w:t>A</w:t>
                </w:r>
              </w:sdtContent>
            </w:sdt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B94D47">
        <w:trPr>
          <w:cantSplit/>
          <w:trHeight w:hRule="exact" w:val="1675"/>
        </w:trPr>
        <w:tc>
          <w:tcPr>
            <w:tcW w:w="102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B94D47" w:rsidRDefault="00C57341" w:rsidP="00F35E03">
            <w:pPr>
              <w:tabs>
                <w:tab w:val="left" w:pos="1985"/>
              </w:tabs>
              <w:spacing w:before="40" w:after="0"/>
              <w:rPr>
                <w:rFonts w:cs="Times New Roman"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</w:rPr>
              <w:t xml:space="preserve"> </w:t>
            </w:r>
            <w:r w:rsidR="00030785" w:rsidRPr="00B94D47">
              <w:rPr>
                <w:rFonts w:ascii="Arial" w:hAnsi="Arial" w:cs="Arial"/>
                <w:sz w:val="18"/>
                <w:szCs w:val="18"/>
              </w:rPr>
              <w:t>p</w:t>
            </w:r>
            <w:r w:rsidR="0039656B" w:rsidRPr="00B94D47">
              <w:rPr>
                <w:rFonts w:ascii="Arial" w:hAnsi="Arial" w:cs="Arial"/>
                <w:sz w:val="18"/>
                <w:szCs w:val="18"/>
              </w:rPr>
              <w:t>résidents de CSA de réseaux, spéciaux et d’EP</w:t>
            </w:r>
            <w:r w:rsidR="008964FA" w:rsidRPr="00B94D47">
              <w:rPr>
                <w:rFonts w:ascii="Arial" w:hAnsi="Arial" w:cs="Arial"/>
                <w:sz w:val="18"/>
                <w:szCs w:val="18"/>
              </w:rPr>
              <w:t>A,</w:t>
            </w:r>
            <w:r w:rsidR="0039656B" w:rsidRPr="00B94D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0785" w:rsidRPr="00B94D47">
              <w:rPr>
                <w:rFonts w:ascii="Arial" w:hAnsi="Arial" w:cs="Arial"/>
                <w:sz w:val="18"/>
                <w:szCs w:val="18"/>
              </w:rPr>
              <w:t xml:space="preserve">présidents de FS-SST, chefs des principaux SCN, responsables RH des 14 autorités centrales d’emploi (ACE), </w:t>
            </w:r>
            <w:r w:rsidR="0039656B" w:rsidRPr="00B94D47">
              <w:rPr>
                <w:rFonts w:ascii="Arial" w:hAnsi="Arial" w:cs="Arial"/>
                <w:sz w:val="18"/>
                <w:szCs w:val="18"/>
              </w:rPr>
              <w:t>secrétaires généraux d’EP</w:t>
            </w:r>
            <w:r w:rsidR="008964FA" w:rsidRPr="00B94D47">
              <w:rPr>
                <w:rFonts w:ascii="Arial" w:hAnsi="Arial" w:cs="Arial"/>
                <w:sz w:val="18"/>
                <w:szCs w:val="18"/>
              </w:rPr>
              <w:t>A</w:t>
            </w:r>
            <w:r w:rsidR="00030785" w:rsidRPr="00B94D47">
              <w:rPr>
                <w:rFonts w:ascii="Arial" w:hAnsi="Arial" w:cs="Arial"/>
                <w:sz w:val="18"/>
                <w:szCs w:val="18"/>
              </w:rPr>
              <w:t xml:space="preserve"> et de SCN,</w:t>
            </w:r>
            <w:r w:rsidR="00FD2BAD" w:rsidRPr="00B94D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9656B" w:rsidRPr="00B94D47">
              <w:rPr>
                <w:rFonts w:ascii="Arial" w:hAnsi="Arial" w:cs="Arial"/>
                <w:sz w:val="18"/>
                <w:szCs w:val="18"/>
              </w:rPr>
              <w:t>conseillers personnels civils</w:t>
            </w:r>
            <w:r w:rsidR="004E3289" w:rsidRPr="00B94D4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70DDD" w:rsidRPr="00B94D47">
              <w:rPr>
                <w:rFonts w:ascii="Arial" w:hAnsi="Arial" w:cs="Arial"/>
                <w:sz w:val="18"/>
                <w:szCs w:val="18"/>
              </w:rPr>
              <w:t>COM BDD</w:t>
            </w:r>
            <w:r w:rsidR="00DA3DB5" w:rsidRPr="00B94D4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35E03" w:rsidRPr="00B94D47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B94D47">
              <w:rPr>
                <w:rFonts w:ascii="Arial" w:hAnsi="Arial"/>
                <w:b/>
                <w:i/>
                <w:sz w:val="18"/>
                <w:szCs w:val="18"/>
              </w:rPr>
              <w:t xml:space="preserve">Compétences REM : </w:t>
            </w:r>
            <w:r w:rsidR="00921481" w:rsidRPr="00B94D47">
              <w:rPr>
                <w:rFonts w:ascii="Arial" w:hAnsi="Arial"/>
                <w:sz w:val="18"/>
                <w:szCs w:val="18"/>
              </w:rPr>
              <w:t>Dialogue social</w:t>
            </w:r>
          </w:p>
          <w:p w:rsidR="00F35E03" w:rsidRPr="00B94D47" w:rsidRDefault="00C57341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sz w:val="18"/>
                <w:szCs w:val="18"/>
              </w:rPr>
            </w:pPr>
            <w:r w:rsidRPr="00B94D47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B94D47">
              <w:rPr>
                <w:rFonts w:ascii="Arial" w:hAnsi="Arial"/>
                <w:b/>
                <w:sz w:val="18"/>
                <w:szCs w:val="18"/>
              </w:rPr>
              <w:t xml:space="preserve">: </w:t>
            </w:r>
            <w:r w:rsidR="00DC4959" w:rsidRPr="00B94D47">
              <w:rPr>
                <w:rFonts w:ascii="Arial" w:hAnsi="Arial"/>
                <w:sz w:val="18"/>
                <w:szCs w:val="18"/>
              </w:rPr>
              <w:t>Pas de prérequis</w:t>
            </w:r>
          </w:p>
          <w:p w:rsidR="00C57341" w:rsidRDefault="00C57341" w:rsidP="00804464">
            <w:pPr>
              <w:tabs>
                <w:tab w:val="left" w:pos="907"/>
              </w:tabs>
              <w:spacing w:before="40" w:after="40"/>
              <w:rPr>
                <w:rFonts w:ascii="Arial" w:hAnsi="Arial"/>
              </w:rPr>
            </w:pPr>
          </w:p>
        </w:tc>
      </w:tr>
      <w:tr w:rsidR="00C57341" w:rsidTr="00921481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957F48" w:rsidRPr="00F35E03" w:rsidRDefault="00957F48" w:rsidP="00957F48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B94D47">
        <w:trPr>
          <w:trHeight w:val="2417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90CDA" w:rsidRPr="00480C8D" w:rsidRDefault="00781CED" w:rsidP="00B94D47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Présentation </w:t>
            </w:r>
            <w:r w:rsidR="00390CDA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ce</w:t>
            </w:r>
            <w:r w:rsidR="00390CDA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 nouveaux enjeux</w:t>
            </w:r>
            <w:r w:rsidR="001824E5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(principaux repères)</w:t>
            </w:r>
            <w:r w:rsidR="001B3E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;</w:t>
            </w:r>
            <w:r w:rsidR="00390CDA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390CDA" w:rsidRPr="00480C8D" w:rsidRDefault="00B16859" w:rsidP="00B94D47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Illustrer par des ex</w:t>
            </w:r>
            <w:r w:rsidR="00390CDA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emples de </w:t>
            </w:r>
            <w:r w:rsid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prise en compte de ces</w:t>
            </w:r>
            <w:r w:rsidR="00390CDA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enjeux (issus d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u secteur public et/ou du </w:t>
            </w:r>
            <w:r w:rsid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ecteur privé)</w:t>
            </w:r>
            <w:r w:rsidR="001B3E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;</w:t>
            </w:r>
          </w:p>
          <w:p w:rsidR="00390CDA" w:rsidRPr="00480C8D" w:rsidRDefault="00390CDA" w:rsidP="00B94D47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Repères pour mener ces transformations</w:t>
            </w:r>
            <w:r w:rsidR="001824E5"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/ enseignements issus de la pratique et des </w:t>
            </w:r>
            <w:r w:rsid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ravaux récents</w:t>
            </w:r>
            <w:r w:rsidR="001B3E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;</w:t>
            </w: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9F0785" w:rsidRPr="00B94D47" w:rsidRDefault="00480C8D" w:rsidP="00B94D47">
            <w:pPr>
              <w:pStyle w:val="Paragraphedelist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Préciser selon quelles modalités chacun de ces sujets peuvent être abordés dans le cadre du dialogue social (dialogue social formel et/ou informel</w:t>
            </w:r>
            <w:r w:rsidR="00B6171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 ; compétence obligatoire ou facultative des instances de dialogue social ; accord collectif…). 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B16859" w:rsidRPr="00480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055F3C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DC4959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E25A9" w:rsidRDefault="00DC4959" w:rsidP="00FE25A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Exposé</w:t>
            </w:r>
          </w:p>
          <w:p w:rsidR="00FE25A9" w:rsidRDefault="00FE25A9" w:rsidP="00FE25A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480C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Prendre appui sur le partage d’expérience des participants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E25A9" w:rsidRDefault="00DC4959" w:rsidP="00FE25A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Débats</w:t>
            </w:r>
          </w:p>
          <w:p w:rsidR="00C57341" w:rsidRPr="00921481" w:rsidRDefault="0083239D" w:rsidP="00FE25A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Études</w:t>
            </w:r>
            <w:r w:rsidR="00DC4959">
              <w:rPr>
                <w:rFonts w:ascii="Arial" w:hAnsi="Arial" w:cs="Arial"/>
                <w:sz w:val="18"/>
                <w:szCs w:val="18"/>
              </w:rPr>
              <w:t xml:space="preserve"> de cas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921481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055F3C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1B3E61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0025A5">
                  <w:rPr>
                    <w:sz w:val="24"/>
                  </w:rPr>
                  <w:t>12/11/2024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1B3E61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</w:p>
        </w:tc>
      </w:tr>
      <w:tr w:rsidR="00C57341" w:rsidTr="00921481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921481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Mme MARY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83239D">
      <w:headerReference w:type="default" r:id="rId8"/>
      <w:pgSz w:w="11906" w:h="16838"/>
      <w:pgMar w:top="1417" w:right="1417" w:bottom="0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F3C" w:rsidRDefault="00055F3C" w:rsidP="00C57341">
      <w:pPr>
        <w:spacing w:after="0" w:line="240" w:lineRule="auto"/>
      </w:pPr>
      <w:r>
        <w:separator/>
      </w:r>
    </w:p>
  </w:endnote>
  <w:endnote w:type="continuationSeparator" w:id="0">
    <w:p w:rsidR="00055F3C" w:rsidRDefault="00055F3C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F3C" w:rsidRDefault="00055F3C" w:rsidP="00C57341">
      <w:pPr>
        <w:spacing w:after="0" w:line="240" w:lineRule="auto"/>
      </w:pPr>
      <w:r>
        <w:separator/>
      </w:r>
    </w:p>
  </w:footnote>
  <w:footnote w:type="continuationSeparator" w:id="0">
    <w:p w:rsidR="00055F3C" w:rsidRDefault="00055F3C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8027B"/>
    <w:multiLevelType w:val="hybridMultilevel"/>
    <w:tmpl w:val="28B4D346"/>
    <w:lvl w:ilvl="0" w:tplc="E0A81ED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61C2F"/>
    <w:multiLevelType w:val="hybridMultilevel"/>
    <w:tmpl w:val="B6406A64"/>
    <w:lvl w:ilvl="0" w:tplc="1248C1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34088"/>
    <w:multiLevelType w:val="hybridMultilevel"/>
    <w:tmpl w:val="BE8801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7"/>
  </w:num>
  <w:num w:numId="5">
    <w:abstractNumId w:val="12"/>
  </w:num>
  <w:num w:numId="6">
    <w:abstractNumId w:val="13"/>
  </w:num>
  <w:num w:numId="7">
    <w:abstractNumId w:val="8"/>
  </w:num>
  <w:num w:numId="8">
    <w:abstractNumId w:val="20"/>
  </w:num>
  <w:num w:numId="9">
    <w:abstractNumId w:val="19"/>
  </w:num>
  <w:num w:numId="10">
    <w:abstractNumId w:val="14"/>
  </w:num>
  <w:num w:numId="11">
    <w:abstractNumId w:val="4"/>
  </w:num>
  <w:num w:numId="12">
    <w:abstractNumId w:val="9"/>
  </w:num>
  <w:num w:numId="13">
    <w:abstractNumId w:val="18"/>
  </w:num>
  <w:num w:numId="14">
    <w:abstractNumId w:val="5"/>
  </w:num>
  <w:num w:numId="15">
    <w:abstractNumId w:val="3"/>
  </w:num>
  <w:num w:numId="16">
    <w:abstractNumId w:val="6"/>
  </w:num>
  <w:num w:numId="17">
    <w:abstractNumId w:val="0"/>
  </w:num>
  <w:num w:numId="18">
    <w:abstractNumId w:val="11"/>
  </w:num>
  <w:num w:numId="19">
    <w:abstractNumId w:val="16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025A5"/>
    <w:rsid w:val="00024C4D"/>
    <w:rsid w:val="000265BF"/>
    <w:rsid w:val="00030785"/>
    <w:rsid w:val="00055F3C"/>
    <w:rsid w:val="00056E1D"/>
    <w:rsid w:val="00062FF5"/>
    <w:rsid w:val="00072E13"/>
    <w:rsid w:val="000F4CA2"/>
    <w:rsid w:val="001325A1"/>
    <w:rsid w:val="001824E5"/>
    <w:rsid w:val="001B2893"/>
    <w:rsid w:val="001B3E61"/>
    <w:rsid w:val="00212F5F"/>
    <w:rsid w:val="002454E8"/>
    <w:rsid w:val="002656E7"/>
    <w:rsid w:val="002E4602"/>
    <w:rsid w:val="002E5017"/>
    <w:rsid w:val="00341E11"/>
    <w:rsid w:val="0036387B"/>
    <w:rsid w:val="00390CDA"/>
    <w:rsid w:val="0039656B"/>
    <w:rsid w:val="003F59D2"/>
    <w:rsid w:val="003F6C09"/>
    <w:rsid w:val="00480C8D"/>
    <w:rsid w:val="004E3289"/>
    <w:rsid w:val="004F036F"/>
    <w:rsid w:val="00597B14"/>
    <w:rsid w:val="005D06E8"/>
    <w:rsid w:val="005F5BA9"/>
    <w:rsid w:val="00636600"/>
    <w:rsid w:val="00660476"/>
    <w:rsid w:val="00695C2E"/>
    <w:rsid w:val="006E40AD"/>
    <w:rsid w:val="006F7E81"/>
    <w:rsid w:val="007127EC"/>
    <w:rsid w:val="00742BA9"/>
    <w:rsid w:val="00770DDD"/>
    <w:rsid w:val="00781CED"/>
    <w:rsid w:val="007D3424"/>
    <w:rsid w:val="007F3434"/>
    <w:rsid w:val="008216D0"/>
    <w:rsid w:val="0083239D"/>
    <w:rsid w:val="00881EA1"/>
    <w:rsid w:val="00892C50"/>
    <w:rsid w:val="008964FA"/>
    <w:rsid w:val="008C794F"/>
    <w:rsid w:val="008D5B76"/>
    <w:rsid w:val="008F056E"/>
    <w:rsid w:val="00921481"/>
    <w:rsid w:val="00957F48"/>
    <w:rsid w:val="009D4594"/>
    <w:rsid w:val="009F0785"/>
    <w:rsid w:val="00A03F9A"/>
    <w:rsid w:val="00A3643A"/>
    <w:rsid w:val="00A54636"/>
    <w:rsid w:val="00A66D9C"/>
    <w:rsid w:val="00AA287D"/>
    <w:rsid w:val="00AC540F"/>
    <w:rsid w:val="00B16859"/>
    <w:rsid w:val="00B21B63"/>
    <w:rsid w:val="00B61712"/>
    <w:rsid w:val="00B94D47"/>
    <w:rsid w:val="00BC49AF"/>
    <w:rsid w:val="00BD244E"/>
    <w:rsid w:val="00C03F68"/>
    <w:rsid w:val="00C042A9"/>
    <w:rsid w:val="00C523A8"/>
    <w:rsid w:val="00C57341"/>
    <w:rsid w:val="00C96345"/>
    <w:rsid w:val="00D8608E"/>
    <w:rsid w:val="00DA3DB5"/>
    <w:rsid w:val="00DC4959"/>
    <w:rsid w:val="00DD16E5"/>
    <w:rsid w:val="00E07AF4"/>
    <w:rsid w:val="00E9754F"/>
    <w:rsid w:val="00F26292"/>
    <w:rsid w:val="00F35E03"/>
    <w:rsid w:val="00F57C49"/>
    <w:rsid w:val="00F612B3"/>
    <w:rsid w:val="00FD2BAD"/>
    <w:rsid w:val="00FD4272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FAD38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paragraph" w:styleId="Titre2">
    <w:name w:val="heading 2"/>
    <w:basedOn w:val="Normal"/>
    <w:link w:val="Titre2Car"/>
    <w:uiPriority w:val="9"/>
    <w:qFormat/>
    <w:rsid w:val="009F07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9F078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1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00F9E"/>
    <w:rsid w:val="000227F9"/>
    <w:rsid w:val="00080656"/>
    <w:rsid w:val="00146787"/>
    <w:rsid w:val="00253781"/>
    <w:rsid w:val="00423476"/>
    <w:rsid w:val="00564C00"/>
    <w:rsid w:val="00773541"/>
    <w:rsid w:val="007E06FB"/>
    <w:rsid w:val="00864215"/>
    <w:rsid w:val="00983A79"/>
    <w:rsid w:val="00A07066"/>
    <w:rsid w:val="00A8432B"/>
    <w:rsid w:val="00AD1E63"/>
    <w:rsid w:val="00B17B18"/>
    <w:rsid w:val="00B271D6"/>
    <w:rsid w:val="00D421AE"/>
    <w:rsid w:val="00DF682F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7B79-6DFF-40FE-9659-DEA63253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6</cp:revision>
  <cp:lastPrinted>2024-10-21T15:12:00Z</cp:lastPrinted>
  <dcterms:created xsi:type="dcterms:W3CDTF">2024-10-21T15:49:00Z</dcterms:created>
  <dcterms:modified xsi:type="dcterms:W3CDTF">2024-11-14T09:46:00Z</dcterms:modified>
</cp:coreProperties>
</file>